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C82A5">
      <w:r>
        <mc:AlternateContent>
          <mc:Choice Requires="wps">
            <w:drawing>
              <wp:anchor distT="0" distB="0" distL="0" distR="0" simplePos="0" relativeHeight="251659264" behindDoc="1" locked="1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998" name="CoverColorB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7A2E1D"/>
                            </a:gs>
                            <a:gs pos="100000">
                              <a:srgbClr val="A6662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CoverColorBg" o:spid="_x0000_s1026" o:spt="1" style="position:absolute;left:0pt;margin-left:0pt;margin-top:0pt;height:841.9pt;width:595.3pt;mso-position-horizontal-relative:page;mso-position-vertical-relative:page;z-index:-251657216;mso-width-relative:page;mso-height-relative:page;" fillcolor="#7A2E1D" filled="t" stroked="f" coordsize="21600,21600" o:gfxdata="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YKayj9YAAAAHAQAADwAAAAAAAAAB&#10;ACAAAAAiAAAAZHJzL2Rvd25yZXYueG1sUEsBAhQAFAAAAAgAh07iQAGL6qTZAQAA1QMAAA4AAAAA&#10;AAAAAQAgAAAAJQEAAGRycy9lMm9Eb2MueG1sUEsFBgAAAAAGAAYAWQEAAHAFAAAAAA==&#10;">
                <v:fill type="gradient" on="t" color2="#A6662E" focus="100%" focussize="0,0" rotate="t"/>
                <v:stroke on="f"/>
                <v:imagedata o:title=""/>
                <o:lock v:ext="edit" aspectratio="f"/>
                <w10:anchorlock/>
              </v:rect>
            </w:pict>
          </mc:Fallback>
        </mc:AlternateContent>
      </w:r>
    </w:p>
    <w:p w14:paraId="23355580">
      <w:pPr>
        <w:spacing w:before="3200" w:line="20" w:lineRule="exact"/>
      </w:pPr>
    </w:p>
    <w:p w14:paraId="4389F12C">
      <w:pPr>
        <w:spacing w:after="160" w:line="380" w:lineRule="auto"/>
        <w:jc w:val="center"/>
      </w:pPr>
      <w:r>
        <w:rPr>
          <w:rFonts w:ascii="宋体" w:hAnsi="宋体" w:eastAsia="宋体" w:cs="宋体"/>
          <w:b/>
          <w:bCs/>
          <w:color w:val="FFFFFF"/>
          <w:sz w:val="60"/>
          <w:szCs w:val="60"/>
        </w:rPr>
        <w:t>仲曰仙艾</w:t>
      </w:r>
    </w:p>
    <w:p w14:paraId="75FF1666">
      <w:pPr>
        <w:spacing w:before="200" w:line="20" w:lineRule="exact"/>
      </w:pPr>
    </w:p>
    <w:p w14:paraId="02321DE2">
      <w:pPr>
        <w:spacing w:after="160" w:line="380" w:lineRule="auto"/>
        <w:jc w:val="center"/>
      </w:pPr>
      <w:r>
        <w:rPr>
          <w:rFonts w:ascii="宋体" w:hAnsi="宋体" w:eastAsia="宋体" w:cs="宋体"/>
          <w:b/>
          <w:bCs/>
          <w:color w:val="FFFFFF"/>
          <w:sz w:val="46"/>
          <w:szCs w:val="46"/>
        </w:rPr>
        <w:t>员 工 薪 资 制 度</w:t>
      </w:r>
    </w:p>
    <w:p w14:paraId="0611FDBA">
      <w:pPr>
        <w:spacing w:before="1200" w:line="20" w:lineRule="exact"/>
      </w:pPr>
    </w:p>
    <w:p w14:paraId="747BB125">
      <w:pPr>
        <w:spacing w:after="160" w:line="380" w:lineRule="auto"/>
        <w:jc w:val="center"/>
      </w:pPr>
      <w:r>
        <w:rPr>
          <w:rFonts w:ascii="宋体" w:hAnsi="宋体" w:eastAsia="宋体" w:cs="宋体"/>
          <w:color w:val="EAD9C9"/>
          <w:sz w:val="22"/>
          <w:szCs w:val="22"/>
        </w:rPr>
        <w:t>—— 门店薪酬管理办法 ——</w:t>
      </w:r>
    </w:p>
    <w:p w14:paraId="700DCA7A">
      <w:pPr>
        <w:spacing w:before="2000" w:line="20" w:lineRule="exact"/>
      </w:pPr>
    </w:p>
    <w:p w14:paraId="04C7638D">
      <w:pPr>
        <w:spacing w:after="160" w:line="380" w:lineRule="auto"/>
        <w:jc w:val="center"/>
      </w:pPr>
      <w:r>
        <w:rPr>
          <w:rFonts w:ascii="宋体" w:hAnsi="宋体" w:eastAsia="宋体" w:cs="宋体"/>
          <w:color w:val="EAD9C9"/>
          <w:sz w:val="20"/>
          <w:szCs w:val="20"/>
        </w:rPr>
        <w:t>适用岗位：学徒 / 初级灸疗师 / 高级灸疗师</w:t>
      </w:r>
    </w:p>
    <w:p w14:paraId="6FC2F5A1">
      <w:pPr>
        <w:sectPr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p w14:paraId="22A1C3AD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第一章  总则</w:t>
      </w:r>
    </w:p>
    <w:p w14:paraId="5A1F78A9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第一条  为规范公司薪酬管理，充分调动员工工作积极性，保障员工合法权益，结合公司经营实际，制定本制度。</w:t>
      </w:r>
    </w:p>
    <w:p w14:paraId="07D0B277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第二条  本制度适用于公司全体门店员工，包括学徒、初级灸疗师、高级灸疗师等岗位。</w:t>
      </w:r>
    </w:p>
    <w:p w14:paraId="1090A04A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第三条  员工薪资由底薪（学习补贴）、饭补、业绩提成、手工费等部分构成，具体标准按本制度执行。</w:t>
      </w:r>
    </w:p>
    <w:p w14:paraId="1C005A40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第四条  本制度所涉及的各项金额，均指税前金额。员工薪资涉及的个人所得税及社会保险费用，按国家法律法规及公司有关规定执行。</w:t>
      </w:r>
    </w:p>
    <w:p w14:paraId="25265A1F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第二章  入职与试用期</w:t>
      </w:r>
    </w:p>
    <w:p w14:paraId="1FD8A799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第五条  新手学习期</w:t>
      </w:r>
    </w:p>
    <w:p w14:paraId="487FB3A3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新入职员工（无相关经验者）设学习期，为期 7 天；</w:t>
      </w:r>
    </w:p>
    <w:p w14:paraId="534AB3A0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学习期内试岗，如自行离开（自离）或经考核未通过被劝退（退离），均不发放补贴，学习期间可包吃；</w:t>
      </w:r>
    </w:p>
    <w:p w14:paraId="71633FF7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学习期须掌握基本服务技能与接待流程，经考核过关后，进入学徒试用期。</w:t>
      </w:r>
    </w:p>
    <w:p w14:paraId="2C9EE963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第六条  学徒试用期</w:t>
      </w:r>
    </w:p>
    <w:p w14:paraId="657AA5CF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学徒试用期为期一个月；</w:t>
      </w:r>
    </w:p>
    <w:p w14:paraId="0488D185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试用期结束，经考核过关后，双方签订正式劳动合同，转为正式员工。</w:t>
      </w:r>
    </w:p>
    <w:p w14:paraId="6722B524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第七条  熟手试岗期</w:t>
      </w:r>
    </w:p>
    <w:p w14:paraId="22BC2279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有相关经验的熟手，试岗期为 1—7 天；</w:t>
      </w:r>
    </w:p>
    <w:p w14:paraId="577590FA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试岗期自离无补贴；经考核未通过被退离的，按 70 元/天发放补贴；</w:t>
      </w:r>
    </w:p>
    <w:p w14:paraId="2C36E4F0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熟手试岗期内随时达到接待要求的，随时可转为试用期；</w:t>
      </w:r>
    </w:p>
    <w:p w14:paraId="170C3D31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4. 熟手试岗期通过考核的，从试岗第一天起计算试用期。</w:t>
      </w:r>
    </w:p>
    <w:p w14:paraId="289B2184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第三章  薪资构成与发薪</w:t>
      </w:r>
    </w:p>
    <w:p w14:paraId="5C823183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第八条  薪资构成</w:t>
      </w:r>
    </w:p>
    <w:p w14:paraId="3D07C6C3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员工薪资由底薪（含基础底薪与社保补助）、饭补、业绩提成、手工费及奖励等构成。各岗位具体标准详见第四章。</w:t>
      </w:r>
    </w:p>
    <w:p w14:paraId="397B2C3D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其中基础底薪对应"基础工作"，包括考勤、店务、顾客接待预约等基础工作内容；社保补助为按岗位标准发放的社会保险补助，员工应自行按规定参加社会保险。</w:t>
      </w:r>
    </w:p>
    <w:p w14:paraId="0D1E6727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第九条  发薪日</w:t>
      </w:r>
    </w:p>
    <w:p w14:paraId="0FEDEB89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每月 15 日发放上一个自然月工资。</w:t>
      </w:r>
    </w:p>
    <w:p w14:paraId="4F1FB2F1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第十条  饭补</w:t>
      </w:r>
    </w:p>
    <w:p w14:paraId="27B4AD99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各岗位按标准发放饭补；如公司提供就餐（包餐），则不再发放饭补。</w:t>
      </w:r>
    </w:p>
    <w:p w14:paraId="698B379A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第四章  岗位薪资标准</w:t>
      </w:r>
    </w:p>
    <w:p w14:paraId="3F17AC0A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第十一条  各岗位薪资标准总览</w:t>
      </w:r>
    </w:p>
    <w:tbl>
      <w:tblPr>
        <w:tblStyle w:val="11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74"/>
        <w:gridCol w:w="2177"/>
        <w:gridCol w:w="2177"/>
        <w:gridCol w:w="2178"/>
      </w:tblGrid>
      <w:tr w14:paraId="396A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660A98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项目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4F2AAA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学徒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E7503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初级灸疗师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4BFE84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高级灸疗师</w:t>
            </w:r>
          </w:p>
        </w:tc>
      </w:tr>
      <w:tr w14:paraId="7900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8D19D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底薪/学习补贴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C270F3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学习补贴 1000 元/月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69E375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底薪 2500 元/月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86F245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底薪 3000 元/月</w:t>
            </w:r>
          </w:p>
        </w:tc>
      </w:tr>
      <w:tr w14:paraId="518C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EC8D4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——基础底薪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BB30BB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980CEF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2000 元/月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6BD2C8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2500 元/月</w:t>
            </w:r>
          </w:p>
        </w:tc>
      </w:tr>
      <w:tr w14:paraId="2960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5FCE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——其中社保补助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2E974F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115862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1500 元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A8E8D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1500 元</w:t>
            </w:r>
          </w:p>
        </w:tc>
      </w:tr>
      <w:tr w14:paraId="3922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7C4AB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——其中基础工作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87CB3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3F2F33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500 元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745615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1000 元</w:t>
            </w:r>
          </w:p>
        </w:tc>
      </w:tr>
      <w:tr w14:paraId="075D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8480CB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饭补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79508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500 元/月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8DEF5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500 元/月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47F42C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500 元/月</w:t>
            </w:r>
          </w:p>
        </w:tc>
      </w:tr>
      <w:tr w14:paraId="2273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E5DD4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业绩提成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15FB7E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开卡提成 5%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444AD3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现金业绩提成 5%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DFEE3E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现金业绩提成 5%</w:t>
            </w:r>
          </w:p>
        </w:tc>
      </w:tr>
      <w:tr w14:paraId="7846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05B2EE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手工费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CD4545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按标准计发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91EB6D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按标准计发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DD3E7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按标准计发</w:t>
            </w:r>
          </w:p>
        </w:tc>
      </w:tr>
      <w:tr w14:paraId="03CE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4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EFC1A0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首月保底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68B490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3000 元（不含加班）</w:t>
            </w:r>
          </w:p>
        </w:tc>
        <w:tc>
          <w:tcPr>
            <w:tcW w:w="217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E3F13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178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541F4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</w:tbl>
    <w:p w14:paraId="1B6726C2">
      <w:pPr>
        <w:spacing w:before="200" w:line="20" w:lineRule="exact"/>
      </w:pPr>
    </w:p>
    <w:p w14:paraId="26BC7042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注：初级灸疗师底薪 2500 元 = 基础底薪 2000 元 + 饭补 500 元，其中基础底薪由"基础工作 500 元 + 社保补助 1500 元"构成。高级灸疗师底薪 3000 元 = 基础底薪 2500 元 + 饭补 500 元，其中基础底薪由"基础工作 1000 元 + 社保补助 1500 元"构成。</w:t>
      </w:r>
    </w:p>
    <w:p w14:paraId="4F5BC9FB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第十二条  手工费标准</w:t>
      </w:r>
    </w:p>
    <w:tbl>
      <w:tblPr>
        <w:tblStyle w:val="11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09"/>
        <w:gridCol w:w="2280"/>
        <w:gridCol w:w="2117"/>
      </w:tblGrid>
      <w:tr w14:paraId="3FF38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3752D3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项目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E8880C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标准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7A2E1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175B6C">
            <w:pPr>
              <w:spacing w:after="0"/>
              <w:jc w:val="center"/>
            </w:pPr>
            <w:r>
              <w:rPr>
                <w:rFonts w:ascii="宋体" w:hAnsi="宋体" w:eastAsia="宋体" w:cs="宋体"/>
                <w:b/>
                <w:bCs/>
                <w:color w:val="FFFFFF"/>
                <w:sz w:val="24"/>
                <w:szCs w:val="24"/>
              </w:rPr>
              <w:t>备注</w:t>
            </w:r>
          </w:p>
        </w:tc>
      </w:tr>
      <w:tr w14:paraId="78E5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0139E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养元灸疏通（30 分钟以内）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5C00E4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10 元/个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E8129C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  <w:tr w14:paraId="3D67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F50877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调理型艾灸（45 分钟以上）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1ACAB7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20 元/个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D2A007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  <w:tr w14:paraId="3D6F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DB26D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刮痧（30 分钟以内）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45663F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10 元/个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AF27F1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  <w:tr w14:paraId="306C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8650D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艾灸床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7DA5C1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 元/个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0661E7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  <w:tr w14:paraId="0D86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4C4F44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中药外敷膏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6E0608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5 元/个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4998B9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  <w:tr w14:paraId="25D9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909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97AF36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其他项目</w:t>
            </w:r>
          </w:p>
        </w:tc>
        <w:tc>
          <w:tcPr>
            <w:tcW w:w="2280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D9FCA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无手工费</w:t>
            </w:r>
          </w:p>
        </w:tc>
        <w:tc>
          <w:tcPr>
            <w:tcW w:w="2117" w:type="dxa"/>
            <w:tcBorders>
              <w:top w:val="single" w:color="D0D0D0" w:sz="0" w:space="0"/>
              <w:left w:val="single" w:color="D0D0D0" w:sz="0" w:space="0"/>
              <w:bottom w:val="single" w:color="D0D0D0" w:sz="0" w:space="0"/>
              <w:right w:val="single" w:color="D0D0D0" w:sz="0" w:space="0"/>
            </w:tcBorders>
            <w:shd w:val="clear" w:color="auto" w:fill="F7F0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BFFC2E">
            <w:pPr>
              <w:spacing w:after="0" w:line="320" w:lineRule="auto"/>
            </w:pPr>
            <w:r>
              <w:rPr>
                <w:rFonts w:ascii="宋体" w:hAnsi="宋体" w:eastAsia="宋体" w:cs="宋体"/>
                <w:color w:val="333333"/>
                <w:sz w:val="24"/>
                <w:szCs w:val="24"/>
              </w:rPr>
              <w:t>—</w:t>
            </w:r>
          </w:p>
        </w:tc>
      </w:tr>
    </w:tbl>
    <w:p w14:paraId="65904399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第十三条  奖励</w:t>
      </w:r>
    </w:p>
    <w:p w14:paraId="043EB24B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每月奖励制度按当月公司公布的标准执行。</w:t>
      </w:r>
    </w:p>
    <w:p w14:paraId="77669E90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第五章  业绩提成与手工费说明</w:t>
      </w:r>
    </w:p>
    <w:p w14:paraId="7098B62A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第十四条  业绩提成</w:t>
      </w:r>
    </w:p>
    <w:p w14:paraId="5A16D1B6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现金业绩提成 5%：适用于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学徒试岗期、</w:t>
      </w:r>
      <w:r>
        <w:rPr>
          <w:rFonts w:ascii="宋体" w:hAnsi="宋体" w:eastAsia="宋体" w:cs="宋体"/>
          <w:color w:val="333333"/>
          <w:sz w:val="24"/>
          <w:szCs w:val="24"/>
        </w:rPr>
        <w:t>初级灸疗师、高级灸疗师的现金业绩；</w:t>
      </w:r>
    </w:p>
    <w:p w14:paraId="30725808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会员开卡即按销售提成 5% 计算：适用于各岗位的开卡销售；</w:t>
      </w:r>
    </w:p>
    <w:p w14:paraId="4D18576D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第十五条  手工费与业绩区分</w:t>
      </w:r>
    </w:p>
    <w:p w14:paraId="5DF4088F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美团、抖音等团单，按手工费计算，无业绩提成；</w:t>
      </w:r>
    </w:p>
    <w:p w14:paraId="07760A6D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会员开卡，即算销售提成 5%；</w:t>
      </w:r>
    </w:p>
    <w:p w14:paraId="085D2974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会员耗卡，按手工费计算。</w:t>
      </w:r>
    </w:p>
    <w:p w14:paraId="23F2A013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第六章  加班费</w:t>
      </w:r>
    </w:p>
    <w:p w14:paraId="414BACB1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第十六条  加班费标准</w:t>
      </w:r>
    </w:p>
    <w:p w14:paraId="12391D8A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加班费按每 30 分钟 5 元计算；</w:t>
      </w:r>
    </w:p>
    <w:p w14:paraId="55244E49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加班不满 20 分钟的不计算加班费；</w:t>
      </w:r>
    </w:p>
    <w:p w14:paraId="337EB752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学徒首月保底薪资 3000 元不含加班费。</w:t>
      </w:r>
    </w:p>
    <w:p w14:paraId="6CA9800C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第七章  离职与工资结算</w:t>
      </w:r>
    </w:p>
    <w:p w14:paraId="34B77B61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第十七条  试用期员工离职</w:t>
      </w:r>
    </w:p>
    <w:p w14:paraId="18C1A8AF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 xml:space="preserve">1. 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  <w:szCs w:val="24"/>
        </w:rPr>
        <w:t>试用期员工自离，须提前 7 天向店长通知；</w:t>
      </w:r>
    </w:p>
    <w:p w14:paraId="71B76232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试用期员工自离，按底薪 + 手工费结算工资，正常计算业绩提成；</w:t>
      </w:r>
    </w:p>
    <w:p w14:paraId="45ACB14E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试用期内公司劝退（退离），须提前 7 天向员工通知。</w:t>
      </w:r>
    </w:p>
    <w:p w14:paraId="769CBB6D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第十八条  正式员工离职</w:t>
      </w:r>
    </w:p>
    <w:p w14:paraId="3D8CCBC1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1. 正式员工自离，须提前 30 天向店长申请，经同意并签署离职协议后，30 天后可离职；</w:t>
      </w:r>
    </w:p>
    <w:p w14:paraId="5DC8826D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2. 未提前申请而自行离职的，将扣除半个月工资；</w:t>
      </w:r>
    </w:p>
    <w:p w14:paraId="74045564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3. 正式员工因工作失误、违纪违规、不服从公司安排，或不能胜任本职工作，或其他不可抗原因等，公司予以劝退（退离）的，公司提前一个月通知员工。</w:t>
      </w:r>
    </w:p>
    <w:p w14:paraId="7B8DB4A2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28"/>
          <w:szCs w:val="28"/>
        </w:rPr>
        <w:t>第十九条  离职交接</w:t>
      </w:r>
    </w:p>
    <w:p w14:paraId="657128DA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离职申请或通知后，至具体离职时间，可视情况协商确定，原则上以不影响公司店面正常运营为前提。</w:t>
      </w:r>
    </w:p>
    <w:p w14:paraId="72C48D1C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4"/>
          <w:szCs w:val="34"/>
        </w:rPr>
        <w:t>第八章  附则</w:t>
      </w:r>
    </w:p>
    <w:p w14:paraId="4EBB4610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第二十条  本制度由公司负责解释，自发布之日起施行。</w:t>
      </w:r>
    </w:p>
    <w:p w14:paraId="1A742E21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第二十一条  本制度未尽事宜，按国家有关法律法规及公司相关规定执行；如与国家法律法规相抵触的，以国家法律法规为准。</w:t>
      </w:r>
    </w:p>
    <w:p w14:paraId="448D0B63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第二十二条  本制度可根据公司经营发展需要适时修订，修订后版本自发布之日起生效。</w:t>
      </w:r>
    </w:p>
    <w:p w14:paraId="76D1C642">
      <w:pPr>
        <w:spacing w:before="500" w:line="20" w:lineRule="exact"/>
      </w:pPr>
    </w:p>
    <w:p w14:paraId="4200F7F9">
      <w:pPr>
        <w:pBdr>
          <w:bottom w:val="single" w:color="7A2E1D" w:sz="6" w:space="0"/>
        </w:pBdr>
        <w:spacing w:after="200"/>
      </w:pPr>
    </w:p>
    <w:p w14:paraId="6ACC7EBC">
      <w:pPr>
        <w:spacing w:before="300" w:line="20" w:lineRule="exact"/>
      </w:pPr>
    </w:p>
    <w:p w14:paraId="2FED1642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员工确认：本人已阅读并充分理解本薪资制度全部内容，同意遵守相关规定。</w:t>
      </w:r>
    </w:p>
    <w:p w14:paraId="668DDFAC">
      <w:pPr>
        <w:spacing w:before="400" w:line="20" w:lineRule="exact"/>
      </w:pPr>
    </w:p>
    <w:p w14:paraId="307019C9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员工签字：____________________　　　　日期：______年____月____日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F3E6A">
    <w:pPr>
      <w:spacing w:after="160" w:line="380" w:lineRule="auto"/>
      <w:jc w:val="center"/>
    </w:pPr>
    <w:r>
      <w:rPr>
        <w:color w:val="999999"/>
        <w:sz w:val="18"/>
        <w:szCs w:val="18"/>
      </w:rPr>
      <w:t xml:space="preserve">—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 xml:space="preserve"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color w:val="999999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538D0">
    <w:pPr>
      <w:spacing w:after="160" w:line="380" w:lineRule="auto"/>
      <w:jc w:val="center"/>
    </w:pPr>
    <w:r>
      <w:rPr>
        <w:rFonts w:ascii="宋体" w:hAnsi="宋体" w:eastAsia="宋体" w:cs="宋体"/>
        <w:color w:val="999999"/>
        <w:sz w:val="18"/>
        <w:szCs w:val="18"/>
      </w:rPr>
      <w:t>仲曰仙艾员工薪资制度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C085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333333"/>
      <w:sz w:val="24"/>
      <w:szCs w:val="24"/>
    </w:rPr>
  </w:style>
  <w:style w:type="paragraph" w:styleId="2">
    <w:name w:val="heading 1"/>
    <w:next w:val="1"/>
    <w:qFormat/>
    <w:uiPriority w:val="0"/>
    <w:pPr>
      <w:keepNext/>
      <w:keepLines/>
      <w:widowControl/>
      <w:spacing w:before="360" w:after="200"/>
      <w:outlineLvl w:val="0"/>
    </w:pPr>
    <w:rPr>
      <w:rFonts w:ascii="黑体" w:hAnsi="黑体" w:eastAsia="黑体" w:cs="黑体"/>
      <w:b/>
      <w:bCs/>
      <w:color w:val="7A2E1D"/>
      <w:sz w:val="34"/>
      <w:szCs w:val="34"/>
    </w:rPr>
  </w:style>
  <w:style w:type="paragraph" w:styleId="3">
    <w:name w:val="heading 2"/>
    <w:next w:val="1"/>
    <w:qFormat/>
    <w:uiPriority w:val="0"/>
    <w:pPr>
      <w:keepNext/>
      <w:keepLines/>
      <w:widowControl/>
      <w:spacing w:before="360" w:after="200"/>
      <w:outlineLvl w:val="1"/>
    </w:pPr>
    <w:rPr>
      <w:rFonts w:ascii="黑体" w:hAnsi="黑体" w:eastAsia="黑体" w:cs="黑体"/>
      <w:b/>
      <w:bCs/>
      <w:color w:val="7A2E1D"/>
      <w:sz w:val="28"/>
      <w:szCs w:val="28"/>
    </w:rPr>
  </w:style>
  <w:style w:type="paragraph" w:styleId="4">
    <w:name w:val="heading 3"/>
    <w:next w:val="1"/>
    <w:qFormat/>
    <w:uiPriority w:val="0"/>
    <w:pPr>
      <w:keepNext/>
      <w:keepLines/>
      <w:widowControl/>
      <w:spacing w:before="360" w:after="200"/>
      <w:outlineLvl w:val="2"/>
    </w:pPr>
    <w:rPr>
      <w:rFonts w:ascii="黑体" w:hAnsi="黑体" w:eastAsia="黑体" w:cs="黑体"/>
      <w:b/>
      <w:bCs/>
      <w:color w:val="7A2E1D"/>
      <w:sz w:val="26"/>
      <w:szCs w:val="26"/>
    </w:rPr>
  </w:style>
  <w:style w:type="paragraph" w:styleId="5">
    <w:name w:val="heading 4"/>
    <w:next w:val="1"/>
    <w:qFormat/>
    <w:uiPriority w:val="0"/>
    <w:pPr>
      <w:widowControl/>
    </w:pPr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pPr>
      <w:widowControl/>
    </w:pPr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pPr>
      <w:widowControl/>
    </w:pPr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10">
    <w:name w:val="Title"/>
    <w:qFormat/>
    <w:uiPriority w:val="0"/>
    <w:pPr>
      <w:widowControl/>
    </w:pPr>
    <w:rPr>
      <w:rFonts w:ascii="宋体" w:hAnsi="宋体" w:eastAsia="宋体" w:cs="宋体"/>
      <w:color w:val="333333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pPr>
      <w:widowControl/>
    </w:pPr>
    <w:rPr>
      <w:rFonts w:ascii="宋体" w:hAnsi="宋体" w:eastAsia="宋体" w:cs="宋体"/>
      <w:color w:val="333333"/>
      <w:sz w:val="24"/>
      <w:szCs w:val="24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1777</Words>
  <Characters>1915</Characters>
  <TotalTime>5</TotalTime>
  <ScaleCrop>false</ScaleCrop>
  <LinksUpToDate>false</LinksUpToDate>
  <CharactersWithSpaces>2103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2026-08-07T05:41:00Z</dcterms:created>
  <dc:creator>Un-named</dc:creator>
  <cp:lastModifiedBy>国医仲景 尹老师</cp:lastModifiedBy>
  <dcterms:modified xsi:type="dcterms:W3CDTF">2026-08-07T05:46:56Z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eyJoZGlkIjoiODQzOGY5NGU0YmNmM2Q0OTBkMmYwODBiY2IwNDYxYzgiLCJ1c2VySWQiOiI1MzU2NTcwNDYifQ==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14D838AA4BA8407DB2C3F9DC75D9E183_12</vt:lpwstr>
  </property>
</Properties>
</file>